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17C9A" w14:textId="13062F38" w:rsidR="00A032CF" w:rsidRDefault="00A032CF" w:rsidP="00370C9A">
      <w:pPr>
        <w:jc w:val="center"/>
        <w:rPr>
          <w:rFonts w:ascii="Arial" w:eastAsia="Arial" w:hAnsi="Arial" w:cs="Arial"/>
          <w:b/>
          <w:bCs/>
          <w:sz w:val="24"/>
          <w:szCs w:val="24"/>
        </w:rPr>
      </w:pPr>
      <w:r w:rsidRPr="2D4A00A7">
        <w:rPr>
          <w:rFonts w:ascii="Arial" w:eastAsia="Arial" w:hAnsi="Arial" w:cs="Arial"/>
          <w:b/>
          <w:bCs/>
          <w:sz w:val="24"/>
          <w:szCs w:val="24"/>
        </w:rPr>
        <w:t>PIONEER Data Trust Committee (DTC)</w:t>
      </w:r>
    </w:p>
    <w:p w14:paraId="0F35E9FA" w14:textId="6F4E3754" w:rsidR="00A032CF" w:rsidRDefault="00A032CF" w:rsidP="00370C9A">
      <w:pPr>
        <w:jc w:val="center"/>
        <w:rPr>
          <w:rFonts w:ascii="Arial" w:eastAsia="Arial" w:hAnsi="Arial" w:cs="Arial"/>
          <w:sz w:val="24"/>
          <w:szCs w:val="24"/>
        </w:rPr>
      </w:pPr>
      <w:r w:rsidRPr="2D4A00A7">
        <w:rPr>
          <w:rFonts w:ascii="Arial" w:eastAsia="Arial" w:hAnsi="Arial" w:cs="Arial"/>
          <w:sz w:val="24"/>
          <w:szCs w:val="24"/>
        </w:rPr>
        <w:t>Role profile for PIONEER DTC lay members</w:t>
      </w:r>
    </w:p>
    <w:p w14:paraId="225DE0FB" w14:textId="77777777" w:rsidR="00A032CF" w:rsidRDefault="00A032CF" w:rsidP="00A032CF">
      <w:pPr>
        <w:jc w:val="both"/>
        <w:rPr>
          <w:rFonts w:ascii="Arial" w:eastAsia="Arial" w:hAnsi="Arial" w:cs="Arial"/>
          <w:b/>
          <w:bCs/>
          <w:color w:val="000000" w:themeColor="text1"/>
          <w:sz w:val="24"/>
          <w:szCs w:val="24"/>
        </w:rPr>
      </w:pPr>
      <w:r w:rsidRPr="2D4A00A7">
        <w:rPr>
          <w:rFonts w:ascii="Arial" w:eastAsia="Arial" w:hAnsi="Arial" w:cs="Arial"/>
          <w:b/>
          <w:bCs/>
          <w:color w:val="000000" w:themeColor="text1"/>
          <w:sz w:val="24"/>
          <w:szCs w:val="24"/>
        </w:rPr>
        <w:t xml:space="preserve">Background: </w:t>
      </w:r>
    </w:p>
    <w:p w14:paraId="068CC9C4" w14:textId="77777777" w:rsidR="00A032CF" w:rsidRDefault="00A032CF" w:rsidP="00A032CF">
      <w:pPr>
        <w:jc w:val="both"/>
        <w:rPr>
          <w:rFonts w:ascii="Arial" w:eastAsia="Arial" w:hAnsi="Arial" w:cs="Arial"/>
        </w:rPr>
      </w:pPr>
      <w:r w:rsidRPr="2D4A00A7">
        <w:rPr>
          <w:rFonts w:ascii="Arial" w:eastAsia="Arial" w:hAnsi="Arial" w:cs="Arial"/>
          <w:color w:val="000000" w:themeColor="text1"/>
          <w:sz w:val="24"/>
          <w:szCs w:val="24"/>
        </w:rPr>
        <w:t xml:space="preserve">PIONEER will link data from unplanned health care touchpoints to better understand patient experience. By using big data to understand the acute care experience of patients, there is an opportunity to identify critical points in delivery pathways where new approaches, treatments and devices might revolutionise care. </w:t>
      </w:r>
    </w:p>
    <w:p w14:paraId="622509BE" w14:textId="77777777" w:rsidR="00A032CF" w:rsidRDefault="00A032CF" w:rsidP="00A032CF">
      <w:pPr>
        <w:jc w:val="both"/>
        <w:rPr>
          <w:rFonts w:ascii="Arial" w:eastAsia="Arial" w:hAnsi="Arial" w:cs="Arial"/>
          <w:sz w:val="24"/>
          <w:szCs w:val="24"/>
        </w:rPr>
      </w:pPr>
      <w:r w:rsidRPr="2D4A00A7">
        <w:rPr>
          <w:rFonts w:ascii="Arial" w:eastAsia="Arial" w:hAnsi="Arial" w:cs="Arial"/>
          <w:sz w:val="24"/>
          <w:szCs w:val="24"/>
        </w:rPr>
        <w:t>Patient and public input has been embedded into the structure of the project with a patient panel, known as the Data Trust Committee, having full oversight of research using the data and advising the governing and scientific arms of the project. This input is key to ensuring all research coming out of the project will better meet the needs of patients and that it is carried out in a transparent and accountable way.</w:t>
      </w:r>
    </w:p>
    <w:p w14:paraId="41F397F0" w14:textId="77777777" w:rsidR="00A032CF" w:rsidRDefault="00A032CF" w:rsidP="00A032CF">
      <w:pPr>
        <w:jc w:val="both"/>
        <w:rPr>
          <w:rFonts w:ascii="Arial" w:eastAsia="Arial" w:hAnsi="Arial" w:cs="Arial"/>
          <w:b/>
          <w:bCs/>
        </w:rPr>
      </w:pPr>
      <w:r w:rsidRPr="2D4A00A7">
        <w:rPr>
          <w:rFonts w:ascii="Arial" w:eastAsia="Arial" w:hAnsi="Arial" w:cs="Arial"/>
          <w:sz w:val="24"/>
          <w:szCs w:val="24"/>
        </w:rPr>
        <w:t xml:space="preserve">The Data Trust Committee consists of up to 9 voting members of the public. They will be supported by a team of non-voting professional advisors. </w:t>
      </w:r>
    </w:p>
    <w:p w14:paraId="3918AAD4" w14:textId="77777777" w:rsidR="00A032CF" w:rsidRDefault="00A032CF" w:rsidP="00A032CF">
      <w:pPr>
        <w:jc w:val="both"/>
        <w:rPr>
          <w:rFonts w:ascii="Arial" w:eastAsia="Arial" w:hAnsi="Arial" w:cs="Arial"/>
          <w:b/>
          <w:bCs/>
        </w:rPr>
      </w:pPr>
      <w:r w:rsidRPr="2D4A00A7">
        <w:rPr>
          <w:rFonts w:ascii="Arial" w:eastAsia="Arial" w:hAnsi="Arial" w:cs="Arial"/>
          <w:b/>
          <w:bCs/>
        </w:rPr>
        <w:t>Member responsibilities:</w:t>
      </w:r>
    </w:p>
    <w:p w14:paraId="025E5C4A" w14:textId="77777777" w:rsidR="00A032CF" w:rsidRDefault="00A032CF" w:rsidP="00A032CF">
      <w:pPr>
        <w:jc w:val="both"/>
        <w:rPr>
          <w:rFonts w:ascii="Arial" w:eastAsia="Arial" w:hAnsi="Arial" w:cs="Arial"/>
        </w:rPr>
      </w:pPr>
      <w:r w:rsidRPr="2D4A00A7">
        <w:rPr>
          <w:rFonts w:ascii="Arial" w:eastAsia="Arial" w:hAnsi="Arial" w:cs="Arial"/>
        </w:rPr>
        <w:t xml:space="preserve">The lay members will: </w:t>
      </w:r>
    </w:p>
    <w:p w14:paraId="79072B1E" w14:textId="77777777" w:rsidR="00A032CF" w:rsidRDefault="00A032CF" w:rsidP="00A032CF">
      <w:pPr>
        <w:pStyle w:val="ListParagraph"/>
        <w:numPr>
          <w:ilvl w:val="0"/>
          <w:numId w:val="1"/>
        </w:numPr>
        <w:jc w:val="both"/>
        <w:rPr>
          <w:rFonts w:eastAsiaTheme="minorEastAsia"/>
          <w:sz w:val="24"/>
          <w:szCs w:val="24"/>
        </w:rPr>
      </w:pPr>
      <w:r w:rsidRPr="2D4A00A7">
        <w:rPr>
          <w:rFonts w:ascii="Arial" w:eastAsia="Arial" w:hAnsi="Arial" w:cs="Arial"/>
          <w:sz w:val="24"/>
          <w:szCs w:val="24"/>
        </w:rPr>
        <w:t>review of all data request applications and feedback comments to the Scientific Steering Committee</w:t>
      </w:r>
    </w:p>
    <w:p w14:paraId="230E0C7F" w14:textId="77777777" w:rsidR="00A032CF" w:rsidRDefault="00A032CF" w:rsidP="00A032CF">
      <w:pPr>
        <w:pStyle w:val="ListParagraph"/>
        <w:numPr>
          <w:ilvl w:val="0"/>
          <w:numId w:val="1"/>
        </w:numPr>
        <w:jc w:val="both"/>
        <w:rPr>
          <w:rFonts w:eastAsiaTheme="minorEastAsia"/>
          <w:sz w:val="24"/>
          <w:szCs w:val="24"/>
        </w:rPr>
      </w:pPr>
      <w:r w:rsidRPr="2D4A00A7">
        <w:rPr>
          <w:rFonts w:ascii="Arial" w:eastAsia="Arial" w:hAnsi="Arial" w:cs="Arial"/>
          <w:sz w:val="24"/>
          <w:szCs w:val="24"/>
        </w:rPr>
        <w:t>review lay summaries and communications materials to ensure accessibility and transparency</w:t>
      </w:r>
    </w:p>
    <w:p w14:paraId="6D023296" w14:textId="77777777" w:rsidR="00A032CF" w:rsidRDefault="00A032CF" w:rsidP="00A032CF">
      <w:pPr>
        <w:pStyle w:val="ListParagraph"/>
        <w:numPr>
          <w:ilvl w:val="0"/>
          <w:numId w:val="1"/>
        </w:numPr>
        <w:jc w:val="both"/>
        <w:rPr>
          <w:rFonts w:eastAsiaTheme="minorEastAsia"/>
          <w:sz w:val="24"/>
          <w:szCs w:val="24"/>
        </w:rPr>
      </w:pPr>
      <w:r w:rsidRPr="2D4A00A7">
        <w:rPr>
          <w:rFonts w:ascii="Arial" w:eastAsia="Arial" w:hAnsi="Arial" w:cs="Arial"/>
          <w:sz w:val="24"/>
          <w:szCs w:val="24"/>
        </w:rPr>
        <w:t xml:space="preserve">advise on a particular areas and issues </w:t>
      </w:r>
    </w:p>
    <w:p w14:paraId="085B8527" w14:textId="77777777" w:rsidR="00A032CF" w:rsidRDefault="00A032CF" w:rsidP="00A032CF">
      <w:pPr>
        <w:pStyle w:val="ListParagraph"/>
        <w:numPr>
          <w:ilvl w:val="0"/>
          <w:numId w:val="1"/>
        </w:numPr>
        <w:jc w:val="both"/>
        <w:rPr>
          <w:rFonts w:ascii="Arial" w:eastAsia="Arial" w:hAnsi="Arial" w:cs="Arial"/>
          <w:sz w:val="24"/>
          <w:szCs w:val="24"/>
        </w:rPr>
      </w:pPr>
      <w:r w:rsidRPr="2D4A00A7">
        <w:rPr>
          <w:rFonts w:ascii="Arial" w:eastAsia="Arial" w:hAnsi="Arial" w:cs="Arial"/>
          <w:sz w:val="24"/>
          <w:szCs w:val="24"/>
        </w:rPr>
        <w:t xml:space="preserve">advise on the strategic direction of the programme </w:t>
      </w:r>
    </w:p>
    <w:p w14:paraId="3A0FE8EF" w14:textId="77777777" w:rsidR="00A032CF" w:rsidRDefault="00A032CF" w:rsidP="00A032CF">
      <w:pPr>
        <w:jc w:val="both"/>
        <w:rPr>
          <w:rFonts w:ascii="Arial" w:eastAsia="Arial" w:hAnsi="Arial" w:cs="Arial"/>
          <w:color w:val="000000" w:themeColor="text1"/>
          <w:sz w:val="24"/>
          <w:szCs w:val="24"/>
        </w:rPr>
      </w:pPr>
      <w:r w:rsidRPr="2D4A00A7">
        <w:rPr>
          <w:rFonts w:ascii="Arial" w:eastAsia="Arial" w:hAnsi="Arial" w:cs="Arial"/>
          <w:color w:val="000000" w:themeColor="text1"/>
          <w:sz w:val="24"/>
          <w:szCs w:val="24"/>
        </w:rPr>
        <w:t>All members of the DTC must declare all relevant conflicts of interest, including any relationship to Data Requestors, or any stocks or shares held in relevant industry stakeholders.</w:t>
      </w:r>
    </w:p>
    <w:p w14:paraId="0F67E268" w14:textId="77777777" w:rsidR="00A032CF" w:rsidRDefault="00A032CF" w:rsidP="00A032CF">
      <w:pPr>
        <w:jc w:val="both"/>
        <w:rPr>
          <w:rFonts w:ascii="Arial" w:eastAsia="Arial" w:hAnsi="Arial" w:cs="Arial"/>
          <w:sz w:val="24"/>
          <w:szCs w:val="24"/>
        </w:rPr>
      </w:pPr>
      <w:r w:rsidRPr="2D4A00A7">
        <w:rPr>
          <w:rFonts w:ascii="Arial" w:eastAsia="Arial" w:hAnsi="Arial" w:cs="Arial"/>
          <w:sz w:val="24"/>
          <w:szCs w:val="24"/>
        </w:rPr>
        <w:t>Members are also asked to sign a confidentiality agreement.</w:t>
      </w:r>
    </w:p>
    <w:p w14:paraId="1F65717F" w14:textId="77777777" w:rsidR="00A032CF" w:rsidRDefault="00A032CF" w:rsidP="00A032CF">
      <w:pPr>
        <w:jc w:val="both"/>
        <w:rPr>
          <w:rFonts w:ascii="Arial" w:eastAsia="Arial" w:hAnsi="Arial" w:cs="Arial"/>
          <w:b/>
          <w:bCs/>
          <w:sz w:val="24"/>
          <w:szCs w:val="24"/>
        </w:rPr>
      </w:pPr>
      <w:r w:rsidRPr="2D4A00A7">
        <w:rPr>
          <w:rFonts w:ascii="Arial" w:eastAsia="Arial" w:hAnsi="Arial" w:cs="Arial"/>
          <w:b/>
          <w:bCs/>
          <w:sz w:val="24"/>
          <w:szCs w:val="24"/>
        </w:rPr>
        <w:t>Member involvement:</w:t>
      </w:r>
    </w:p>
    <w:p w14:paraId="11BFD414" w14:textId="77777777" w:rsidR="00A032CF" w:rsidRDefault="00A032CF" w:rsidP="00A032CF">
      <w:pPr>
        <w:pStyle w:val="ListParagraph"/>
        <w:numPr>
          <w:ilvl w:val="0"/>
          <w:numId w:val="2"/>
        </w:numPr>
        <w:rPr>
          <w:rFonts w:eastAsiaTheme="minorEastAsia"/>
          <w:sz w:val="24"/>
          <w:szCs w:val="24"/>
        </w:rPr>
      </w:pPr>
      <w:r w:rsidRPr="2D4A00A7">
        <w:rPr>
          <w:rFonts w:ascii="Arial" w:eastAsia="Arial" w:hAnsi="Arial" w:cs="Arial"/>
          <w:sz w:val="24"/>
          <w:szCs w:val="24"/>
        </w:rPr>
        <w:t>reading data request forms and communications materials</w:t>
      </w:r>
    </w:p>
    <w:p w14:paraId="0737CCED" w14:textId="77777777" w:rsidR="00A032CF" w:rsidRDefault="00A032CF" w:rsidP="00A032CF">
      <w:pPr>
        <w:pStyle w:val="ListParagraph"/>
        <w:numPr>
          <w:ilvl w:val="0"/>
          <w:numId w:val="2"/>
        </w:numPr>
        <w:rPr>
          <w:rFonts w:eastAsiaTheme="minorEastAsia"/>
          <w:sz w:val="24"/>
          <w:szCs w:val="24"/>
        </w:rPr>
      </w:pPr>
      <w:r w:rsidRPr="2D4A00A7">
        <w:rPr>
          <w:rFonts w:ascii="Arial" w:eastAsia="Arial" w:hAnsi="Arial" w:cs="Arial"/>
          <w:sz w:val="24"/>
          <w:szCs w:val="24"/>
        </w:rPr>
        <w:t>feeding back by email</w:t>
      </w:r>
    </w:p>
    <w:p w14:paraId="02BD426B" w14:textId="77777777" w:rsidR="00A032CF" w:rsidRDefault="00A032CF" w:rsidP="00A032CF">
      <w:pPr>
        <w:pStyle w:val="ListParagraph"/>
        <w:numPr>
          <w:ilvl w:val="0"/>
          <w:numId w:val="2"/>
        </w:numPr>
        <w:rPr>
          <w:rFonts w:eastAsiaTheme="minorEastAsia"/>
          <w:sz w:val="24"/>
          <w:szCs w:val="24"/>
        </w:rPr>
      </w:pPr>
      <w:r w:rsidRPr="2D4A00A7">
        <w:rPr>
          <w:rFonts w:ascii="Arial" w:eastAsia="Arial" w:hAnsi="Arial" w:cs="Arial"/>
          <w:sz w:val="24"/>
          <w:szCs w:val="24"/>
        </w:rPr>
        <w:t>attending monthly meetings (maximum of 2 hours)</w:t>
      </w:r>
    </w:p>
    <w:p w14:paraId="31A9BDB1" w14:textId="77777777" w:rsidR="00A032CF" w:rsidRDefault="00A032CF" w:rsidP="00A032CF">
      <w:r w:rsidRPr="2D4A00A7">
        <w:rPr>
          <w:rFonts w:ascii="Arial" w:eastAsia="Arial" w:hAnsi="Arial" w:cs="Arial"/>
          <w:sz w:val="24"/>
          <w:szCs w:val="24"/>
        </w:rPr>
        <w:t xml:space="preserve">Meetings are currently held remotely by video conference. Ideally the group will meet face-to-face at least a couple of times a year (once it is safe to do so). </w:t>
      </w:r>
    </w:p>
    <w:p w14:paraId="57DEF955" w14:textId="77777777" w:rsidR="00A032CF" w:rsidRDefault="00A032CF" w:rsidP="00A032CF">
      <w:r w:rsidRPr="2D4A00A7">
        <w:rPr>
          <w:rFonts w:ascii="Arial" w:eastAsia="Arial" w:hAnsi="Arial" w:cs="Arial"/>
          <w:sz w:val="24"/>
          <w:szCs w:val="24"/>
        </w:rPr>
        <w:t>Whilst eventually the expectation is that group members would join one meeting a month, to begin with there are likely to be more as the group forms (approx. fortnightly).</w:t>
      </w:r>
    </w:p>
    <w:p w14:paraId="20100E0B" w14:textId="77777777" w:rsidR="00A032CF" w:rsidRDefault="00A032CF" w:rsidP="00A032CF">
      <w:pPr>
        <w:rPr>
          <w:rFonts w:ascii="Arial" w:eastAsia="Arial" w:hAnsi="Arial" w:cs="Arial"/>
          <w:b/>
          <w:bCs/>
          <w:sz w:val="24"/>
          <w:szCs w:val="24"/>
        </w:rPr>
      </w:pPr>
      <w:r w:rsidRPr="2D4A00A7">
        <w:rPr>
          <w:rFonts w:ascii="Arial" w:eastAsia="Arial" w:hAnsi="Arial" w:cs="Arial"/>
          <w:b/>
          <w:bCs/>
          <w:sz w:val="24"/>
          <w:szCs w:val="24"/>
        </w:rPr>
        <w:t>Support available:</w:t>
      </w:r>
    </w:p>
    <w:p w14:paraId="22F77F82" w14:textId="77777777" w:rsidR="00A032CF" w:rsidRDefault="00A032CF" w:rsidP="00A032CF">
      <w:pPr>
        <w:rPr>
          <w:rFonts w:ascii="Arial" w:eastAsia="Arial" w:hAnsi="Arial" w:cs="Arial"/>
          <w:sz w:val="24"/>
          <w:szCs w:val="24"/>
        </w:rPr>
      </w:pPr>
      <w:r w:rsidRPr="2D4A00A7">
        <w:rPr>
          <w:rFonts w:ascii="Arial" w:eastAsia="Arial" w:hAnsi="Arial" w:cs="Arial"/>
          <w:sz w:val="24"/>
          <w:szCs w:val="24"/>
        </w:rPr>
        <w:lastRenderedPageBreak/>
        <w:t>Members of the DTC will receive basic training to improve their knowledge of the research project and to upskill them to review data access requests appropriately. Throughout their term they will be supported by the Patient and Public Involvement and Engagement Lead.</w:t>
      </w:r>
    </w:p>
    <w:p w14:paraId="0BE36AF5" w14:textId="77777777" w:rsidR="00A032CF" w:rsidRDefault="00A032CF" w:rsidP="00A032CF">
      <w:pPr>
        <w:rPr>
          <w:rFonts w:ascii="Arial" w:eastAsia="Arial" w:hAnsi="Arial" w:cs="Arial"/>
          <w:b/>
          <w:bCs/>
          <w:sz w:val="24"/>
          <w:szCs w:val="24"/>
        </w:rPr>
      </w:pPr>
      <w:r w:rsidRPr="2D4A00A7">
        <w:rPr>
          <w:rFonts w:ascii="Arial" w:eastAsia="Arial" w:hAnsi="Arial" w:cs="Arial"/>
          <w:b/>
          <w:bCs/>
          <w:sz w:val="24"/>
          <w:szCs w:val="24"/>
        </w:rPr>
        <w:t>Duration of the role:</w:t>
      </w:r>
    </w:p>
    <w:p w14:paraId="2E8AEC7B" w14:textId="77777777" w:rsidR="00A032CF" w:rsidRDefault="00A032CF" w:rsidP="00A032CF">
      <w:pPr>
        <w:rPr>
          <w:rFonts w:ascii="Arial" w:eastAsia="Arial" w:hAnsi="Arial" w:cs="Arial"/>
          <w:sz w:val="24"/>
          <w:szCs w:val="24"/>
        </w:rPr>
      </w:pPr>
      <w:r w:rsidRPr="2D4A00A7">
        <w:rPr>
          <w:rFonts w:ascii="Arial" w:eastAsia="Arial" w:hAnsi="Arial" w:cs="Arial"/>
          <w:sz w:val="24"/>
          <w:szCs w:val="24"/>
        </w:rPr>
        <w:t xml:space="preserve">Members of the DTC will commit to a minimum </w:t>
      </w:r>
      <w:proofErr w:type="gramStart"/>
      <w:r w:rsidRPr="2D4A00A7">
        <w:rPr>
          <w:rFonts w:ascii="Arial" w:eastAsia="Arial" w:hAnsi="Arial" w:cs="Arial"/>
          <w:sz w:val="24"/>
          <w:szCs w:val="24"/>
        </w:rPr>
        <w:t>one year</w:t>
      </w:r>
      <w:proofErr w:type="gramEnd"/>
      <w:r w:rsidRPr="2D4A00A7">
        <w:rPr>
          <w:rFonts w:ascii="Arial" w:eastAsia="Arial" w:hAnsi="Arial" w:cs="Arial"/>
          <w:sz w:val="24"/>
          <w:szCs w:val="24"/>
        </w:rPr>
        <w:t xml:space="preserve"> membership, to be reviewed annually, with length of service of any one individual member exceeding no more than four years.</w:t>
      </w:r>
    </w:p>
    <w:p w14:paraId="229EFC5C" w14:textId="77777777" w:rsidR="00A032CF" w:rsidRDefault="00A032CF" w:rsidP="00A032CF">
      <w:pPr>
        <w:rPr>
          <w:rFonts w:ascii="Arial" w:eastAsia="Arial" w:hAnsi="Arial" w:cs="Arial"/>
          <w:color w:val="454545"/>
          <w:sz w:val="24"/>
          <w:szCs w:val="24"/>
        </w:rPr>
      </w:pPr>
      <w:r w:rsidRPr="2D4A00A7">
        <w:rPr>
          <w:rFonts w:ascii="Arial" w:eastAsia="Arial" w:hAnsi="Arial" w:cs="Arial"/>
          <w:b/>
          <w:bCs/>
          <w:sz w:val="24"/>
          <w:szCs w:val="24"/>
        </w:rPr>
        <w:t>Payment and expenses:</w:t>
      </w:r>
      <w:r w:rsidRPr="2D4A00A7">
        <w:rPr>
          <w:rFonts w:ascii="Arial" w:eastAsia="Arial" w:hAnsi="Arial" w:cs="Arial"/>
          <w:color w:val="454545"/>
          <w:sz w:val="24"/>
          <w:szCs w:val="24"/>
        </w:rPr>
        <w:t xml:space="preserve">                                                                         </w:t>
      </w:r>
    </w:p>
    <w:p w14:paraId="6328E83F" w14:textId="21D792C5" w:rsidR="00006CB2" w:rsidRPr="00A032CF" w:rsidRDefault="00A032CF" w:rsidP="00A032CF">
      <w:pPr>
        <w:jc w:val="both"/>
        <w:rPr>
          <w:rFonts w:ascii="Arial" w:eastAsia="Arial" w:hAnsi="Arial" w:cs="Arial"/>
          <w:sz w:val="24"/>
          <w:szCs w:val="24"/>
        </w:rPr>
      </w:pPr>
      <w:bookmarkStart w:id="0" w:name="_GoBack"/>
      <w:r w:rsidRPr="2D4A00A7">
        <w:rPr>
          <w:rFonts w:ascii="Arial" w:eastAsia="Arial" w:hAnsi="Arial" w:cs="Arial"/>
          <w:sz w:val="24"/>
          <w:szCs w:val="24"/>
        </w:rPr>
        <w:t xml:space="preserve">Lay members are paid an honorarium for each meeting attended </w:t>
      </w:r>
      <w:r w:rsidR="00370C9A">
        <w:rPr>
          <w:rFonts w:ascii="Arial" w:eastAsia="Arial" w:hAnsi="Arial" w:cs="Arial"/>
          <w:sz w:val="24"/>
          <w:szCs w:val="24"/>
        </w:rPr>
        <w:t xml:space="preserve">(£75 per meeting, which includes the time required to do </w:t>
      </w:r>
      <w:proofErr w:type="gramStart"/>
      <w:r w:rsidR="00370C9A">
        <w:rPr>
          <w:rFonts w:ascii="Arial" w:eastAsia="Arial" w:hAnsi="Arial" w:cs="Arial"/>
          <w:sz w:val="24"/>
          <w:szCs w:val="24"/>
        </w:rPr>
        <w:t>pre meeting</w:t>
      </w:r>
      <w:proofErr w:type="gramEnd"/>
      <w:r w:rsidR="00370C9A">
        <w:rPr>
          <w:rFonts w:ascii="Arial" w:eastAsia="Arial" w:hAnsi="Arial" w:cs="Arial"/>
          <w:sz w:val="24"/>
          <w:szCs w:val="24"/>
        </w:rPr>
        <w:t xml:space="preserve"> work)</w:t>
      </w:r>
      <w:r w:rsidRPr="2D4A00A7">
        <w:rPr>
          <w:rFonts w:ascii="Arial" w:eastAsia="Arial" w:hAnsi="Arial" w:cs="Arial"/>
          <w:sz w:val="24"/>
          <w:szCs w:val="24"/>
        </w:rPr>
        <w:t xml:space="preserve">. </w:t>
      </w:r>
      <w:bookmarkEnd w:id="0"/>
    </w:p>
    <w:sectPr w:rsidR="00006CB2" w:rsidRPr="00A032C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C6843" w14:textId="77777777" w:rsidR="00BE3017" w:rsidRDefault="00BE3017" w:rsidP="00370C9A">
      <w:pPr>
        <w:spacing w:after="0" w:line="240" w:lineRule="auto"/>
      </w:pPr>
      <w:r>
        <w:separator/>
      </w:r>
    </w:p>
  </w:endnote>
  <w:endnote w:type="continuationSeparator" w:id="0">
    <w:p w14:paraId="776F0C0B" w14:textId="77777777" w:rsidR="00BE3017" w:rsidRDefault="00BE3017" w:rsidP="00370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9F8AC" w14:textId="77777777" w:rsidR="00BE3017" w:rsidRDefault="00BE3017" w:rsidP="00370C9A">
      <w:pPr>
        <w:spacing w:after="0" w:line="240" w:lineRule="auto"/>
      </w:pPr>
      <w:r>
        <w:separator/>
      </w:r>
    </w:p>
  </w:footnote>
  <w:footnote w:type="continuationSeparator" w:id="0">
    <w:p w14:paraId="5928B003" w14:textId="77777777" w:rsidR="00BE3017" w:rsidRDefault="00BE3017" w:rsidP="00370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DC3C0" w14:textId="507AB0A8" w:rsidR="00370C9A" w:rsidRDefault="00370C9A">
    <w:pPr>
      <w:pStyle w:val="Header"/>
    </w:pPr>
    <w:r>
      <w:rPr>
        <w:noProof/>
      </w:rPr>
      <w:drawing>
        <wp:inline distT="0" distB="0" distL="0" distR="0" wp14:anchorId="0DD7FA52" wp14:editId="740CF3D3">
          <wp:extent cx="2243825" cy="58420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ONEER.tif"/>
                  <pic:cNvPicPr/>
                </pic:nvPicPr>
                <pic:blipFill>
                  <a:blip r:embed="rId1">
                    <a:extLst>
                      <a:ext uri="{28A0092B-C50C-407E-A947-70E740481C1C}">
                        <a14:useLocalDpi xmlns:a14="http://schemas.microsoft.com/office/drawing/2010/main" val="0"/>
                      </a:ext>
                    </a:extLst>
                  </a:blip>
                  <a:stretch>
                    <a:fillRect/>
                  </a:stretch>
                </pic:blipFill>
                <pic:spPr>
                  <a:xfrm>
                    <a:off x="0" y="0"/>
                    <a:ext cx="2256452" cy="587488"/>
                  </a:xfrm>
                  <a:prstGeom prst="rect">
                    <a:avLst/>
                  </a:prstGeom>
                </pic:spPr>
              </pic:pic>
            </a:graphicData>
          </a:graphic>
        </wp:inline>
      </w:drawing>
    </w:r>
  </w:p>
  <w:p w14:paraId="135E419D" w14:textId="77777777" w:rsidR="00370C9A" w:rsidRDefault="00370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530B"/>
    <w:multiLevelType w:val="hybridMultilevel"/>
    <w:tmpl w:val="24AE8E12"/>
    <w:lvl w:ilvl="0" w:tplc="F4C01464">
      <w:start w:val="1"/>
      <w:numFmt w:val="bullet"/>
      <w:lvlText w:val=""/>
      <w:lvlJc w:val="left"/>
      <w:pPr>
        <w:ind w:left="720" w:hanging="360"/>
      </w:pPr>
      <w:rPr>
        <w:rFonts w:ascii="Symbol" w:hAnsi="Symbol" w:hint="default"/>
      </w:rPr>
    </w:lvl>
    <w:lvl w:ilvl="1" w:tplc="9E3E4A00">
      <w:start w:val="1"/>
      <w:numFmt w:val="bullet"/>
      <w:lvlText w:val="o"/>
      <w:lvlJc w:val="left"/>
      <w:pPr>
        <w:ind w:left="1440" w:hanging="360"/>
      </w:pPr>
      <w:rPr>
        <w:rFonts w:ascii="Courier New" w:hAnsi="Courier New" w:hint="default"/>
      </w:rPr>
    </w:lvl>
    <w:lvl w:ilvl="2" w:tplc="3B06B4D8">
      <w:start w:val="1"/>
      <w:numFmt w:val="bullet"/>
      <w:lvlText w:val=""/>
      <w:lvlJc w:val="left"/>
      <w:pPr>
        <w:ind w:left="2160" w:hanging="360"/>
      </w:pPr>
      <w:rPr>
        <w:rFonts w:ascii="Wingdings" w:hAnsi="Wingdings" w:hint="default"/>
      </w:rPr>
    </w:lvl>
    <w:lvl w:ilvl="3" w:tplc="43A8F3F2">
      <w:start w:val="1"/>
      <w:numFmt w:val="bullet"/>
      <w:lvlText w:val=""/>
      <w:lvlJc w:val="left"/>
      <w:pPr>
        <w:ind w:left="2880" w:hanging="360"/>
      </w:pPr>
      <w:rPr>
        <w:rFonts w:ascii="Symbol" w:hAnsi="Symbol" w:hint="default"/>
      </w:rPr>
    </w:lvl>
    <w:lvl w:ilvl="4" w:tplc="0F5EDADC">
      <w:start w:val="1"/>
      <w:numFmt w:val="bullet"/>
      <w:lvlText w:val="o"/>
      <w:lvlJc w:val="left"/>
      <w:pPr>
        <w:ind w:left="3600" w:hanging="360"/>
      </w:pPr>
      <w:rPr>
        <w:rFonts w:ascii="Courier New" w:hAnsi="Courier New" w:hint="default"/>
      </w:rPr>
    </w:lvl>
    <w:lvl w:ilvl="5" w:tplc="AB9608CA">
      <w:start w:val="1"/>
      <w:numFmt w:val="bullet"/>
      <w:lvlText w:val=""/>
      <w:lvlJc w:val="left"/>
      <w:pPr>
        <w:ind w:left="4320" w:hanging="360"/>
      </w:pPr>
      <w:rPr>
        <w:rFonts w:ascii="Wingdings" w:hAnsi="Wingdings" w:hint="default"/>
      </w:rPr>
    </w:lvl>
    <w:lvl w:ilvl="6" w:tplc="936E8DDC">
      <w:start w:val="1"/>
      <w:numFmt w:val="bullet"/>
      <w:lvlText w:val=""/>
      <w:lvlJc w:val="left"/>
      <w:pPr>
        <w:ind w:left="5040" w:hanging="360"/>
      </w:pPr>
      <w:rPr>
        <w:rFonts w:ascii="Symbol" w:hAnsi="Symbol" w:hint="default"/>
      </w:rPr>
    </w:lvl>
    <w:lvl w:ilvl="7" w:tplc="C1521F6C">
      <w:start w:val="1"/>
      <w:numFmt w:val="bullet"/>
      <w:lvlText w:val="o"/>
      <w:lvlJc w:val="left"/>
      <w:pPr>
        <w:ind w:left="5760" w:hanging="360"/>
      </w:pPr>
      <w:rPr>
        <w:rFonts w:ascii="Courier New" w:hAnsi="Courier New" w:hint="default"/>
      </w:rPr>
    </w:lvl>
    <w:lvl w:ilvl="8" w:tplc="F4DC4226">
      <w:start w:val="1"/>
      <w:numFmt w:val="bullet"/>
      <w:lvlText w:val=""/>
      <w:lvlJc w:val="left"/>
      <w:pPr>
        <w:ind w:left="6480" w:hanging="360"/>
      </w:pPr>
      <w:rPr>
        <w:rFonts w:ascii="Wingdings" w:hAnsi="Wingdings" w:hint="default"/>
      </w:rPr>
    </w:lvl>
  </w:abstractNum>
  <w:abstractNum w:abstractNumId="1" w15:restartNumberingAfterBreak="0">
    <w:nsid w:val="28BC5BAF"/>
    <w:multiLevelType w:val="hybridMultilevel"/>
    <w:tmpl w:val="157A6ED0"/>
    <w:lvl w:ilvl="0" w:tplc="79180A82">
      <w:start w:val="1"/>
      <w:numFmt w:val="bullet"/>
      <w:lvlText w:val=""/>
      <w:lvlJc w:val="left"/>
      <w:pPr>
        <w:ind w:left="720" w:hanging="360"/>
      </w:pPr>
      <w:rPr>
        <w:rFonts w:ascii="Symbol" w:hAnsi="Symbol" w:hint="default"/>
      </w:rPr>
    </w:lvl>
    <w:lvl w:ilvl="1" w:tplc="65A4B5C4">
      <w:start w:val="1"/>
      <w:numFmt w:val="bullet"/>
      <w:lvlText w:val="o"/>
      <w:lvlJc w:val="left"/>
      <w:pPr>
        <w:ind w:left="1440" w:hanging="360"/>
      </w:pPr>
      <w:rPr>
        <w:rFonts w:ascii="Courier New" w:hAnsi="Courier New" w:hint="default"/>
      </w:rPr>
    </w:lvl>
    <w:lvl w:ilvl="2" w:tplc="A6E6596C">
      <w:start w:val="1"/>
      <w:numFmt w:val="bullet"/>
      <w:lvlText w:val=""/>
      <w:lvlJc w:val="left"/>
      <w:pPr>
        <w:ind w:left="2160" w:hanging="360"/>
      </w:pPr>
      <w:rPr>
        <w:rFonts w:ascii="Wingdings" w:hAnsi="Wingdings" w:hint="default"/>
      </w:rPr>
    </w:lvl>
    <w:lvl w:ilvl="3" w:tplc="D7EE68FA">
      <w:start w:val="1"/>
      <w:numFmt w:val="bullet"/>
      <w:lvlText w:val=""/>
      <w:lvlJc w:val="left"/>
      <w:pPr>
        <w:ind w:left="2880" w:hanging="360"/>
      </w:pPr>
      <w:rPr>
        <w:rFonts w:ascii="Symbol" w:hAnsi="Symbol" w:hint="default"/>
      </w:rPr>
    </w:lvl>
    <w:lvl w:ilvl="4" w:tplc="C7DE03BE">
      <w:start w:val="1"/>
      <w:numFmt w:val="bullet"/>
      <w:lvlText w:val="o"/>
      <w:lvlJc w:val="left"/>
      <w:pPr>
        <w:ind w:left="3600" w:hanging="360"/>
      </w:pPr>
      <w:rPr>
        <w:rFonts w:ascii="Courier New" w:hAnsi="Courier New" w:hint="default"/>
      </w:rPr>
    </w:lvl>
    <w:lvl w:ilvl="5" w:tplc="057E1244">
      <w:start w:val="1"/>
      <w:numFmt w:val="bullet"/>
      <w:lvlText w:val=""/>
      <w:lvlJc w:val="left"/>
      <w:pPr>
        <w:ind w:left="4320" w:hanging="360"/>
      </w:pPr>
      <w:rPr>
        <w:rFonts w:ascii="Wingdings" w:hAnsi="Wingdings" w:hint="default"/>
      </w:rPr>
    </w:lvl>
    <w:lvl w:ilvl="6" w:tplc="0E3EC40E">
      <w:start w:val="1"/>
      <w:numFmt w:val="bullet"/>
      <w:lvlText w:val=""/>
      <w:lvlJc w:val="left"/>
      <w:pPr>
        <w:ind w:left="5040" w:hanging="360"/>
      </w:pPr>
      <w:rPr>
        <w:rFonts w:ascii="Symbol" w:hAnsi="Symbol" w:hint="default"/>
      </w:rPr>
    </w:lvl>
    <w:lvl w:ilvl="7" w:tplc="F52AFD78">
      <w:start w:val="1"/>
      <w:numFmt w:val="bullet"/>
      <w:lvlText w:val="o"/>
      <w:lvlJc w:val="left"/>
      <w:pPr>
        <w:ind w:left="5760" w:hanging="360"/>
      </w:pPr>
      <w:rPr>
        <w:rFonts w:ascii="Courier New" w:hAnsi="Courier New" w:hint="default"/>
      </w:rPr>
    </w:lvl>
    <w:lvl w:ilvl="8" w:tplc="7BD89F2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CF"/>
    <w:rsid w:val="00006CB2"/>
    <w:rsid w:val="00370C9A"/>
    <w:rsid w:val="00A032CF"/>
    <w:rsid w:val="00BE3017"/>
    <w:rsid w:val="00E43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3B517"/>
  <w15:chartTrackingRefBased/>
  <w15:docId w15:val="{C96BFD89-EB14-4564-A37C-B09D4FF5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2CF"/>
    <w:pPr>
      <w:ind w:left="720"/>
      <w:contextualSpacing/>
    </w:pPr>
  </w:style>
  <w:style w:type="paragraph" w:styleId="Header">
    <w:name w:val="header"/>
    <w:basedOn w:val="Normal"/>
    <w:link w:val="HeaderChar"/>
    <w:uiPriority w:val="99"/>
    <w:unhideWhenUsed/>
    <w:rsid w:val="00370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C9A"/>
  </w:style>
  <w:style w:type="paragraph" w:styleId="Footer">
    <w:name w:val="footer"/>
    <w:basedOn w:val="Normal"/>
    <w:link w:val="FooterChar"/>
    <w:uiPriority w:val="99"/>
    <w:unhideWhenUsed/>
    <w:rsid w:val="00370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Forty (Institute of Translational Medicine)</dc:creator>
  <cp:keywords/>
  <dc:description/>
  <cp:lastModifiedBy>Laura Forty (Institute of Translational Medicine)</cp:lastModifiedBy>
  <cp:revision>2</cp:revision>
  <dcterms:created xsi:type="dcterms:W3CDTF">2020-12-07T13:58:00Z</dcterms:created>
  <dcterms:modified xsi:type="dcterms:W3CDTF">2020-12-07T13:58:00Z</dcterms:modified>
</cp:coreProperties>
</file>